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8.xml" ContentType="application/vnd.openxmlformats-officedocument.wordprocessingml.head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tbl>
      <w:tblPr>
        <w:tblStyle w:val="af"/>
        <w:tblW w:w="992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65"/>
        <w:gridCol w:w="722"/>
        <w:gridCol w:w="4534"/>
      </w:tblGrid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«ПОДГОТОВИЛ»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«УТВЕРЖДАЮ»</w:t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Технический куратор договора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Инициатор договора</w:t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Начальник управления обслуживания объектов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Начальник управления обслуживания объектов</w:t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______________/ Решетникова А.А.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______________/ Решетникова А.А.</w:t>
            </w:r>
          </w:p>
        </w:tc>
      </w:tr>
      <w:tr>
        <w:trPr>
          <w:trHeight w:val="197" w:hRule="atLeast"/>
        </w:trPr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«     » марта 2026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года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«     » марта 2026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года</w:t>
            </w:r>
          </w:p>
        </w:tc>
      </w:tr>
    </w:tbl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Технические требования на оказание услуг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bidi w:val="0"/>
        <w:spacing w:before="120" w:after="1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eastAsia="Calibri"/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О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КПД2 81.22.11.000 Оказание услуг по мытью окон и фасада на объектах филиала ПАО «РусГидро» - «Карачаево-Черкесский филиал»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bidi w:val="0"/>
        <w:spacing w:before="120" w:after="120"/>
        <w:jc w:val="center"/>
        <w:rPr>
          <w:i w:val="false"/>
          <w:i w:val="false"/>
          <w:strike w:val="false"/>
          <w:dstrike w:val="false"/>
          <w:outline w:val="false"/>
          <w:shadow w:val="false"/>
          <w:color w:val="000000"/>
          <w:u w:val="none"/>
          <w:em w:val="none"/>
        </w:rPr>
      </w:pPr>
      <w:r>
        <w:rPr>
          <w:i w:val="false"/>
          <w:strike w:val="false"/>
          <w:dstrike w:val="false"/>
          <w:outline w:val="false"/>
          <w:shadow w:val="false"/>
          <w:color w:val="000000"/>
          <w:u w:val="none"/>
          <w:em w:val="none"/>
        </w:rPr>
      </w:r>
    </w:p>
    <w:p>
      <w:pPr>
        <w:sectPr>
          <w:headerReference w:type="default" r:id="rId2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8"/>
          <w:tab w:val="left" w:pos="426" w:leader="none"/>
        </w:tabs>
        <w:bidi w:val="0"/>
        <w:spacing w:before="120" w:after="120"/>
        <w:jc w:val="center"/>
        <w:rPr>
          <w:rFonts w:ascii="Times New Roman" w:hAnsi="Times New Roman"/>
          <w:b/>
          <w:bCs/>
          <w:i w:val="false"/>
          <w:i w:val="false"/>
          <w:iCs w:val="false"/>
          <w:sz w:val="28"/>
          <w:szCs w:val="28"/>
        </w:rPr>
      </w:pPr>
      <w:r>
        <w:rPr>
          <w:rFonts w:eastAsia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val="ru-RU"/>
        </w:rPr>
        <w:t xml:space="preserve">ЛОТ № </w:t>
      </w:r>
      <w:r>
        <w:rPr>
          <w:rFonts w:eastAsia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0017-</w:t>
      </w:r>
      <w:r>
        <w:rPr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ТО ДУД-2026-СК РусГидро</w:t>
      </w:r>
    </w:p>
    <w:p>
      <w:pPr>
        <w:pStyle w:val="Heading1"/>
        <w:keepLines/>
        <w:numPr>
          <w:ilvl w:val="0"/>
          <w:numId w:val="3"/>
        </w:numPr>
        <w:ind w:left="357" w:right="0" w:hanging="357"/>
        <w:jc w:val="center"/>
        <w:rPr>
          <w:lang w:val="ru-RU"/>
        </w:rPr>
      </w:pPr>
      <w:bookmarkStart w:id="0" w:name="_Toc130995406"/>
      <w:r>
        <w:rPr>
          <w:lang w:val="ru-RU"/>
        </w:rPr>
        <w:t>Общие сведения</w:t>
      </w:r>
      <w:bookmarkEnd w:id="0"/>
    </w:p>
    <w:p>
      <w:pPr>
        <w:pStyle w:val="Heading4"/>
        <w:numPr>
          <w:ilvl w:val="1"/>
          <w:numId w:val="3"/>
        </w:numPr>
        <w:ind w:left="432" w:right="0" w:hanging="432"/>
        <w:rPr/>
      </w:pPr>
      <w:bookmarkStart w:id="1" w:name="_Toc130372575"/>
      <w:bookmarkStart w:id="2" w:name="_Toc130995407"/>
      <w:bookmarkStart w:id="3" w:name="_Toc46743505"/>
      <w:r>
        <w:rPr/>
        <w:t>Обозначения и сокращения</w:t>
      </w:r>
      <w:bookmarkEnd w:id="1"/>
      <w:bookmarkEnd w:id="2"/>
      <w:bookmarkEnd w:id="3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537"/>
        <w:gridCol w:w="6245"/>
      </w:tblGrid>
      <w:tr>
        <w:trPr>
          <w:trHeight w:val="20" w:hRule="atLeast"/>
          <w:cantSplit w:val="true"/>
        </w:trPr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Cs/>
                <w:i w:val="false"/>
                <w:i w:val="false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Технические требования (ТТ)</w:t>
            </w:r>
          </w:p>
        </w:tc>
        <w:tc>
          <w:tcPr>
            <w:tcW w:w="6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Cs/>
                <w:i w:val="false"/>
                <w:i w:val="false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Настоящие Технические требования</w:t>
            </w:r>
          </w:p>
        </w:tc>
      </w:tr>
      <w:tr>
        <w:trPr>
          <w:trHeight w:val="20" w:hRule="atLeast"/>
          <w:cantSplit w:val="true"/>
        </w:trPr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Заказчик</w:t>
            </w:r>
          </w:p>
        </w:tc>
        <w:tc>
          <w:tcPr>
            <w:tcW w:w="6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АО «СК РусГидро»</w:t>
            </w:r>
          </w:p>
        </w:tc>
      </w:tr>
      <w:tr>
        <w:trPr>
          <w:trHeight w:val="20" w:hRule="atLeast"/>
          <w:cantSplit w:val="true"/>
        </w:trPr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Филиал</w:t>
            </w:r>
          </w:p>
        </w:tc>
        <w:tc>
          <w:tcPr>
            <w:tcW w:w="6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Филиал ПАО «РусГидро» - «Карачаево-Черкесский филиал»</w:t>
            </w:r>
          </w:p>
        </w:tc>
      </w:tr>
      <w:tr>
        <w:trPr>
          <w:trHeight w:val="20" w:hRule="atLeast"/>
          <w:cantSplit w:val="true"/>
        </w:trPr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rPr>
                <w:rStyle w:val="Style8"/>
                <w:bCs/>
                <w:i w:val="false"/>
                <w:i w:val="false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Объекты (Объект воздействия)</w:t>
            </w:r>
          </w:p>
        </w:tc>
        <w:tc>
          <w:tcPr>
            <w:tcW w:w="6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sz w:val="22"/>
                <w:szCs w:val="22"/>
              </w:rPr>
              <w:t>Здания, сооружения и территории Филиала, находящиеся в постоянной эксплуатации, требуют периодических воздействий для сохранения и восстановления своих эксплуатационных свойств, поддержания внешнего вида, санитарного благополучия и благоустроительных мероприятий</w:t>
            </w:r>
          </w:p>
        </w:tc>
      </w:tr>
      <w:tr>
        <w:trPr>
          <w:trHeight w:val="20" w:hRule="atLeast"/>
          <w:cantSplit w:val="true"/>
        </w:trPr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Исполнитель</w:t>
            </w:r>
          </w:p>
        </w:tc>
        <w:tc>
          <w:tcPr>
            <w:tcW w:w="6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Cs/>
                <w:i w:val="false"/>
                <w:i w:val="false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Исполнителем по договору может быть юридическое / физическое лицо, в том числе индивидуальный предприниматель, или несколько юридических / физических лиц, в том числе несколько индивидуальных предпринимателей, выступающих 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капитала, за исключением юридического /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из числа лиц, </w:t>
            </w:r>
            <w:r>
              <w:rPr>
                <w:rFonts w:eastAsia="Calibri"/>
                <w:b/>
                <w:bCs/>
                <w:sz w:val="22"/>
                <w:szCs w:val="22"/>
              </w:rPr>
              <w:t>относящихся к субъектам МСП</w:t>
            </w:r>
            <w:r>
              <w:rPr>
                <w:rFonts w:eastAsia="Calibri"/>
                <w:sz w:val="22"/>
                <w:szCs w:val="22"/>
              </w:rPr>
              <w:t>, а также физические лица, не являющиеся индивидуальными предпринимателями и имеющими специальный налоговой режим «Налог профессиональный доход».</w:t>
            </w:r>
          </w:p>
        </w:tc>
      </w:tr>
    </w:tbl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  <w:r>
        <w:br w:type="page"/>
      </w:r>
    </w:p>
    <w:p>
      <w:pPr>
        <w:pStyle w:val="Heading4"/>
        <w:numPr>
          <w:ilvl w:val="1"/>
          <w:numId w:val="3"/>
        </w:numPr>
        <w:spacing w:before="0" w:after="0"/>
        <w:ind w:left="0" w:right="0" w:firstLine="709"/>
        <w:jc w:val="left"/>
        <w:rPr/>
      </w:pPr>
      <w:bookmarkStart w:id="4" w:name="_Toc130995408"/>
      <w:bookmarkStart w:id="5" w:name="_Toc54643696"/>
      <w:bookmarkStart w:id="6" w:name="_Toc46743506"/>
      <w:r>
        <w:rPr/>
        <w:t>Наименование закупаемой продукции</w:t>
      </w:r>
      <w:bookmarkEnd w:id="4"/>
      <w:bookmarkEnd w:id="5"/>
      <w:bookmarkEnd w:id="6"/>
    </w:p>
    <w:p>
      <w:pPr>
        <w:pStyle w:val="Heading4"/>
        <w:numPr>
          <w:ilvl w:val="0"/>
          <w:numId w:val="0"/>
        </w:numPr>
        <w:spacing w:before="0" w:after="0"/>
        <w:ind w:left="0" w:right="0" w:firstLine="709"/>
        <w:jc w:val="both"/>
        <w:rPr/>
      </w:pPr>
      <w:r>
        <w:rPr>
          <w:b w:val="false"/>
          <w:bCs w:val="false"/>
          <w:iCs/>
          <w:lang w:val="ru-RU"/>
        </w:rPr>
        <w:t>ОКПД2 81.22.11.000 Оказание услуг по мытью окон и фасада на объектах филиала ПАО «РусГидро» - «Карачаево-Черкесский филиал».</w:t>
      </w:r>
    </w:p>
    <w:p>
      <w:pPr>
        <w:pStyle w:val="Normal"/>
        <w:numPr>
          <w:ilvl w:val="0"/>
          <w:numId w:val="0"/>
        </w:numPr>
        <w:spacing w:before="0" w:after="0"/>
        <w:ind w:left="0" w:right="0" w:firstLine="709"/>
        <w:rPr>
          <w:b w:val="false"/>
          <w:bCs w:val="false"/>
          <w:iCs/>
          <w:lang w:val="ru-RU"/>
        </w:rPr>
      </w:pPr>
      <w:r>
        <w:rPr>
          <w:b w:val="false"/>
          <w:bCs w:val="false"/>
          <w:iCs/>
          <w:lang w:val="ru-RU"/>
        </w:rPr>
      </w:r>
      <w:bookmarkStart w:id="7" w:name="_Toc130995409"/>
      <w:bookmarkStart w:id="8" w:name="_Toc130372577"/>
      <w:bookmarkStart w:id="9" w:name="_Toc46743507"/>
      <w:bookmarkStart w:id="10" w:name="_Toc130995409"/>
      <w:bookmarkStart w:id="11" w:name="_Toc130372577"/>
      <w:bookmarkStart w:id="12" w:name="_Toc46743507"/>
      <w:bookmarkEnd w:id="12"/>
    </w:p>
    <w:p>
      <w:pPr>
        <w:pStyle w:val="Heading4"/>
        <w:numPr>
          <w:ilvl w:val="1"/>
          <w:numId w:val="3"/>
        </w:numPr>
        <w:spacing w:before="0" w:after="0"/>
        <w:ind w:left="0" w:right="0" w:firstLine="709"/>
        <w:jc w:val="left"/>
        <w:rPr/>
      </w:pPr>
      <w:r>
        <w:rPr/>
        <w:t xml:space="preserve">Цель </w:t>
      </w:r>
      <w:r>
        <w:rPr>
          <w:lang w:val="ru-RU"/>
        </w:rPr>
        <w:t>оказания услуг.</w:t>
      </w:r>
      <w:bookmarkEnd w:id="10"/>
      <w:bookmarkEnd w:id="11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0"/>
        <w:ind w:left="0" w:right="0" w:firstLine="709"/>
        <w:jc w:val="both"/>
        <w:rPr/>
      </w:pPr>
      <w:r>
        <w:rPr>
          <w:sz w:val="24"/>
          <w:szCs w:val="24"/>
        </w:rPr>
        <w:t>С целью исполнения доходного договора, заключенного между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Филиалом ПАО «РусГидро» - «Карачаево-Черкесский филиал» и АО «СК «РусГидро», а также в целях своевременной очистки фасадов и остекления зданий от загрязнений окружающей среды.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spacing w:before="0" w:after="0"/>
        <w:ind w:left="0" w:right="0" w:firstLine="709"/>
        <w:jc w:val="left"/>
        <w:rPr/>
      </w:pPr>
      <w:bookmarkStart w:id="13" w:name="_Toc130995410"/>
      <w:bookmarkStart w:id="14" w:name="_Toc130372578"/>
      <w:bookmarkStart w:id="15" w:name="_Toc46743508"/>
      <w:r>
        <w:rPr/>
        <w:t>Существующее положение</w:t>
      </w:r>
      <w:bookmarkEnd w:id="13"/>
      <w:bookmarkEnd w:id="14"/>
      <w:bookmarkEnd w:id="15"/>
    </w:p>
    <w:p>
      <w:pPr>
        <w:pStyle w:val="Normal"/>
        <w:spacing w:before="0" w:after="0"/>
        <w:ind w:left="0" w:right="0" w:firstLine="709"/>
        <w:jc w:val="both"/>
        <w:rPr/>
      </w:pPr>
      <w:r>
        <w:rPr>
          <w:sz w:val="24"/>
          <w:szCs w:val="24"/>
        </w:rPr>
        <w:t>Здания и сооружения Усть-Джегутинской, Красногорских МГЭС и Зеленчукской ГЭС-ГАЭС, находящиеся в постоянной эксплуатации, требуют периодических воздействий для сохранения и восстановления своих эксплуатационных свойств, поддержания внешнего вида поверхностей надлежащем виде.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0"/>
        <w:ind w:left="0" w:right="0" w:firstLine="709"/>
        <w:jc w:val="both"/>
        <w:rPr/>
      </w:pPr>
      <w:r>
        <w:rPr>
          <w:sz w:val="24"/>
          <w:szCs w:val="24"/>
        </w:rPr>
        <w:t>Работы выполняются на действующих энергетических объектах при работе гидросилового оборудования со вращающимися частями и электрического оборудования, находящегося под высоким напряжением; на сооружениях вблизи проезжающего автотранспорта.</w:t>
      </w:r>
    </w:p>
    <w:p>
      <w:pPr>
        <w:pStyle w:val="Normal"/>
        <w:spacing w:before="0" w:after="0"/>
        <w:ind w:left="0" w:right="0" w:firstLine="709"/>
        <w:jc w:val="both"/>
        <w:rPr/>
      </w:pPr>
      <w:r>
        <w:rPr>
          <w:sz w:val="24"/>
          <w:szCs w:val="24"/>
          <w:lang w:val="x-none" w:eastAsia="x-none"/>
        </w:rPr>
        <w:t xml:space="preserve">Перечень объектов воздействия представлен в </w:t>
      </w:r>
      <w:r>
        <w:rPr>
          <w:sz w:val="24"/>
          <w:szCs w:val="24"/>
          <w:lang w:eastAsia="x-none"/>
        </w:rPr>
        <w:t>Таблице</w:t>
      </w:r>
      <w:r>
        <w:rPr>
          <w:sz w:val="24"/>
          <w:szCs w:val="24"/>
          <w:lang w:val="x-none" w:eastAsia="x-none"/>
        </w:rPr>
        <w:t xml:space="preserve"> </w:t>
      </w:r>
      <w:r>
        <w:rPr>
          <w:sz w:val="24"/>
          <w:szCs w:val="24"/>
          <w:lang w:eastAsia="x-none"/>
        </w:rPr>
        <w:t>1</w:t>
      </w:r>
      <w:r>
        <w:rPr>
          <w:sz w:val="24"/>
          <w:szCs w:val="24"/>
          <w:lang w:val="x-none" w:eastAsia="x-none"/>
        </w:rPr>
        <w:t xml:space="preserve"> «Перечень объектов Заказчика» </w:t>
      </w:r>
    </w:p>
    <w:p>
      <w:pPr>
        <w:pStyle w:val="Heading1"/>
        <w:keepLines/>
        <w:numPr>
          <w:ilvl w:val="0"/>
          <w:numId w:val="0"/>
        </w:numPr>
        <w:spacing w:before="0" w:after="0"/>
        <w:ind w:left="0" w:right="0" w:hanging="0"/>
        <w:rPr>
          <w:rStyle w:val="Style8"/>
          <w:b/>
          <w:i w:val="false"/>
          <w:i w:val="false"/>
          <w:sz w:val="24"/>
          <w:szCs w:val="24"/>
          <w:shd w:fill="auto" w:val="clear"/>
          <w:lang w:val="ru-RU"/>
        </w:rPr>
      </w:pPr>
      <w:r>
        <w:rPr>
          <w:b/>
          <w:i w:val="false"/>
          <w:sz w:val="24"/>
          <w:szCs w:val="24"/>
          <w:shd w:fill="auto" w:val="clear"/>
          <w:lang w:val="ru-RU"/>
        </w:rPr>
      </w:r>
    </w:p>
    <w:p>
      <w:pPr>
        <w:pStyle w:val="Heading1"/>
        <w:numPr>
          <w:ilvl w:val="0"/>
          <w:numId w:val="0"/>
        </w:numPr>
        <w:spacing w:before="0" w:after="0"/>
        <w:ind w:left="0" w:right="0" w:hanging="0"/>
        <w:jc w:val="left"/>
        <w:rPr>
          <w:rStyle w:val="Style8"/>
          <w:b/>
          <w:i w:val="false"/>
          <w:i w:val="false"/>
          <w:sz w:val="24"/>
          <w:szCs w:val="24"/>
          <w:shd w:fill="auto" w:val="clear"/>
          <w:lang w:val="ru-RU"/>
        </w:rPr>
      </w:pPr>
      <w:bookmarkStart w:id="16" w:name="_Toc130995411"/>
      <w:bookmarkStart w:id="17" w:name="_Toc46743507_Копия_1"/>
      <w:bookmarkEnd w:id="17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16"/>
    </w:p>
    <w:tbl>
      <w:tblPr>
        <w:tblW w:w="1026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59"/>
        <w:gridCol w:w="1833"/>
        <w:gridCol w:w="2701"/>
        <w:gridCol w:w="3335"/>
        <w:gridCol w:w="1832"/>
      </w:tblGrid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Расположение объекта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основного средства (в отношении которого оказываются услуги)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Примечания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Усть-Джегутинская МГЭС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КЧР, Усть-Джегутинский р-н, г. Усть-Джегута. Усть-Джегутинская МГЭС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22" w:leader="none"/>
              </w:tabs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Здание МГЭС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22" w:leader="none"/>
              </w:tabs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Машинный зал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Эксплуатирующая организация Карачаево-Черкесского филиала ПАО «РусГидро»</w:t>
            </w:r>
          </w:p>
        </w:tc>
      </w:tr>
      <w:tr>
        <w:trPr>
          <w:trHeight w:val="881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Зеленчукская ГЭС-ГАЭС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КЧР, Карачаевский р-н, пгт. Проавокубанский. Зеленчукская ГЭС-ГАЭС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Здание ГАЭС, машинный зал;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Водоприемник НБ</w:t>
            </w:r>
          </w:p>
        </w:tc>
        <w:tc>
          <w:tcPr>
            <w:tcW w:w="1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Красногорская МГЭС №1</w:t>
            </w:r>
          </w:p>
        </w:tc>
        <w:tc>
          <w:tcPr>
            <w:tcW w:w="2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Российская Федерация, Карачаево-Черкесская республика, пгт. Правокубаский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180" w:leader="none"/>
              </w:tabs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Здание МГЭС №1</w:t>
            </w:r>
          </w:p>
        </w:tc>
        <w:tc>
          <w:tcPr>
            <w:tcW w:w="1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Красногорская МГЭС №2</w:t>
            </w:r>
          </w:p>
        </w:tc>
        <w:tc>
          <w:tcPr>
            <w:tcW w:w="2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  <w:sz w:val="20"/>
                <w:szCs w:val="20"/>
                <w:highlight w:val="none"/>
                <w:shd w:fill="auto" w:val="clear"/>
              </w:rPr>
            </w:pPr>
            <w:r>
              <w:rPr>
                <w:iCs/>
                <w:sz w:val="20"/>
                <w:szCs w:val="20"/>
                <w:shd w:fill="auto" w:val="clear"/>
              </w:rPr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180" w:leader="none"/>
              </w:tabs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shd w:fill="auto" w:val="clear"/>
              </w:rPr>
              <w:t>Здание МГЭС №2</w:t>
            </w:r>
          </w:p>
        </w:tc>
        <w:tc>
          <w:tcPr>
            <w:tcW w:w="1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left="0" w:right="0" w:firstLine="567"/>
        <w:jc w:val="both"/>
        <w:rPr/>
      </w:pPr>
      <w:bookmarkStart w:id="18" w:name="_Toc130995412"/>
      <w:bookmarkStart w:id="19" w:name="_Toc130372580"/>
      <w:r>
        <w:rPr/>
        <w:t xml:space="preserve">Информация в отношении исполнения договора, </w:t>
      </w:r>
      <w:bookmarkStart w:id="20" w:name="_Hlk46492347"/>
      <w:r>
        <w:rPr/>
        <w:t xml:space="preserve">которая должна быть учтена при подготовке заявки </w:t>
      </w:r>
      <w:bookmarkEnd w:id="20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bookmarkEnd w:id="18"/>
      <w:bookmarkEnd w:id="19"/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 xml:space="preserve">Оказание услуг осущестляется на высоте с использованием </w:t>
      </w:r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 xml:space="preserve">автогидроподъемника (высота подъема не менее 18 метров). Автогидроподъемник 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является обременением Исполнителя.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До начала производства работ Исполнитель обязан разработать проект производства работ (ППР) на выполнение работ по мытью окон в том числе с использованием средств и снаряжения для работ на высоте. Проект производства работ должен быть разработан с соблюдением требований действующего законодательства и в обязательном порядке подлежит согласованию с Филиалами.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Исполнитель, по запросу Заказчика, представляет официальным письмом отчет в произвольной форме о текущем статусе и существующих рисках исполнения своих обязательств;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Персонал Исполнителя обеспечивает поддержание чистоты на рабочих местах, своевременную уборку отходов по окончании оказания услуг;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Исполнитель обеспечивает текущий контроль оказываемых услуг, включающий в себя надзор за правильностью и последовательностью выполнения отдельных технологических операций;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Подготовку рабочих мест и допуск на рабочие места выполняет персонал Заказчика;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Исполнитель обеспечивает подготовку рабочей площадки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Исполнитель обеспечивает соблюдение правил охраны труда при оказании услуг, требований к квалификации персонала.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Услуги оказываются в таком объёме, который позволяет продолжать эксплуатацию объекта без закупки Заказчиком дополнительных объёмов каких-либо материалов, оборудования и услуг. Услуги считаются оказанными после приёмки услуг с оформлением отчётной документации со стороны Исполнителя.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</w:pPr>
      <w:bookmarkStart w:id="21" w:name="_Hlk173936166"/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 xml:space="preserve"> 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>Допуск персонала Исполнителя для оказания услуг осуществляется в соответствии Регламентом процесса «Допуск подрядных организаций на объекты ПАО «РусГидро» утвержденный приказом ПАО «РусГидро» от 28.04.2023 № 300 с обязательным оформлением необходимых нарядов-допусков. (Приложение № 3 к настоящим ТТ);</w:t>
      </w:r>
      <w:bookmarkEnd w:id="21"/>
    </w:p>
    <w:p>
      <w:pPr>
        <w:pStyle w:val="Normal"/>
        <w:numPr>
          <w:ilvl w:val="2"/>
          <w:numId w:val="3"/>
        </w:numPr>
        <w:ind w:left="0" w:right="0" w:firstLine="709"/>
        <w:jc w:val="both"/>
        <w:rPr/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x-none" w:eastAsia="x-none" w:bidi="ar-SA"/>
        </w:rPr>
        <w:t xml:space="preserve">Мойку оконных витражей фасадов зданий, сооружений следует производить при температуре не ниже 0 °С. </w:t>
      </w:r>
    </w:p>
    <w:p>
      <w:pPr>
        <w:pStyle w:val="Normal"/>
        <w:ind w:left="0" w:right="0" w:firstLine="709"/>
        <w:jc w:val="both"/>
        <w:rPr>
          <w:rFonts w:eastAsia="Calibri"/>
          <w:b w:val="false"/>
          <w:bCs w:val="false"/>
          <w:color w:val="111111"/>
        </w:rPr>
      </w:pPr>
      <w:r>
        <w:rPr>
          <w:rFonts w:eastAsia="Calibri"/>
          <w:b w:val="false"/>
          <w:bCs w:val="false"/>
          <w:color w:val="111111"/>
        </w:rPr>
      </w:r>
    </w:p>
    <w:p>
      <w:pPr>
        <w:pStyle w:val="ListParagraph"/>
        <w:numPr>
          <w:ilvl w:val="1"/>
          <w:numId w:val="3"/>
        </w:numPr>
        <w:ind w:left="0" w:right="0" w:firstLine="709"/>
        <w:jc w:val="both"/>
        <w:rPr>
          <w:rFonts w:ascii="Times New Roman" w:hAnsi="Times New Roman" w:eastAsia="Times New Roman" w:cs="Times New Roman"/>
          <w:b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x-none" w:bidi="ar-SA"/>
        </w:rPr>
        <w:t>Материально-технические ресурсы*:</w:t>
      </w:r>
    </w:p>
    <w:p>
      <w:pPr>
        <w:pStyle w:val="ListParagraph"/>
        <w:ind w:left="0" w:firstLine="709"/>
        <w:jc w:val="both"/>
        <w:rPr>
          <w:sz w:val="24"/>
          <w:szCs w:val="24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</w:rPr>
        <w:t>- Ч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истящее средство для окон,</w:t>
      </w:r>
    </w:p>
    <w:p>
      <w:pPr>
        <w:pStyle w:val="ListParagraph"/>
        <w:ind w:left="0" w:firstLine="709"/>
        <w:jc w:val="both"/>
        <w:rPr>
          <w:sz w:val="24"/>
          <w:szCs w:val="24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 Средство для мытья стекол и зеркал МИСТЕР МУСКУЛ либо эквивалент</w:t>
      </w:r>
    </w:p>
    <w:p>
      <w:pPr>
        <w:pStyle w:val="ListParagraph"/>
        <w:ind w:left="0" w:firstLine="709"/>
        <w:jc w:val="both"/>
        <w:rPr>
          <w:sz w:val="24"/>
          <w:szCs w:val="24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 распылитель</w:t>
      </w:r>
    </w:p>
    <w:p>
      <w:pPr>
        <w:pStyle w:val="ListParagraph"/>
        <w:ind w:left="0" w:firstLine="709"/>
        <w:jc w:val="both"/>
        <w:rPr>
          <w:sz w:val="20"/>
          <w:szCs w:val="20"/>
        </w:rPr>
      </w:pPr>
      <w:r>
        <w:rPr>
          <w:b w:val="false"/>
          <w:bCs w:val="false"/>
          <w:iCs/>
          <w:sz w:val="20"/>
          <w:szCs w:val="20"/>
          <w:shd w:fill="auto" w:val="clear"/>
          <w:lang w:eastAsia="x-none"/>
        </w:rPr>
        <w:t>*</w:t>
      </w:r>
      <w:r>
        <w:rPr>
          <w:b w:val="false"/>
          <w:bCs w:val="false"/>
          <w:i/>
          <w:iCs/>
          <w:sz w:val="20"/>
          <w:szCs w:val="20"/>
          <w:shd w:fill="auto" w:val="clear"/>
          <w:lang w:val="ru-RU" w:eastAsia="x-none"/>
        </w:rPr>
        <w:t xml:space="preserve">Средства материально-технического обеспечения, материально-технических ресурсов </w:t>
      </w:r>
      <w:r>
        <w:rPr>
          <w:b w:val="false"/>
          <w:bCs w:val="false"/>
          <w:i/>
          <w:iCs/>
          <w:sz w:val="20"/>
          <w:szCs w:val="20"/>
          <w:shd w:fill="auto" w:val="clear"/>
          <w:lang w:eastAsia="x-none"/>
        </w:rPr>
        <w:t xml:space="preserve">указаны в соответствии с условиями договора, </w:t>
      </w:r>
      <w:r>
        <w:rPr>
          <w:rFonts w:eastAsia="Times New Roman" w:cs="Times New Roman"/>
          <w:b w:val="false"/>
          <w:bCs w:val="false"/>
          <w:i/>
          <w:iCs/>
          <w:color w:val="000000"/>
          <w:kern w:val="0"/>
          <w:sz w:val="20"/>
          <w:szCs w:val="20"/>
          <w:shd w:fill="auto" w:val="clear"/>
          <w:lang w:val="ru-RU" w:eastAsia="ru-RU" w:bidi="ar-SA"/>
        </w:rPr>
        <w:t>заключенного</w:t>
      </w:r>
      <w:r>
        <w:rPr>
          <w:b w:val="false"/>
          <w:bCs w:val="false"/>
          <w:i/>
          <w:iCs/>
          <w:sz w:val="20"/>
          <w:szCs w:val="20"/>
          <w:shd w:fill="auto" w:val="clear"/>
          <w:lang w:eastAsia="x-none"/>
        </w:rPr>
        <w:t xml:space="preserve"> между Заказчиком и </w:t>
      </w:r>
      <w:r>
        <w:rPr>
          <w:b w:val="false"/>
          <w:bCs w:val="false"/>
          <w:i/>
          <w:iCs/>
          <w:sz w:val="20"/>
          <w:szCs w:val="20"/>
          <w:shd w:fill="auto" w:val="clear"/>
          <w:lang w:val="ru-RU" w:eastAsia="x-none"/>
        </w:rPr>
        <w:t>филиалом ПАО «РусГидро» - «Карачаево-Черкесский филиал»</w:t>
      </w:r>
      <w:r>
        <w:rPr>
          <w:b w:val="false"/>
          <w:bCs w:val="false"/>
          <w:i/>
          <w:iCs/>
          <w:sz w:val="20"/>
          <w:szCs w:val="20"/>
          <w:shd w:fill="auto" w:val="clear"/>
          <w:lang w:eastAsia="x-none"/>
        </w:rPr>
        <w:t xml:space="preserve">. </w:t>
      </w:r>
    </w:p>
    <w:p>
      <w:pPr>
        <w:pStyle w:val="Normal"/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</w:r>
    </w:p>
    <w:p>
      <w:pPr>
        <w:pStyle w:val="Normal"/>
        <w:numPr>
          <w:ilvl w:val="1"/>
          <w:numId w:val="3"/>
        </w:numPr>
        <w:ind w:left="0" w:right="0" w:firstLine="709"/>
        <w:jc w:val="both"/>
        <w:rPr>
          <w:b/>
          <w:bCs/>
          <w:sz w:val="24"/>
          <w:szCs w:val="24"/>
          <w:lang w:eastAsia="x-none"/>
        </w:rPr>
      </w:pPr>
      <w:r>
        <w:rPr>
          <w:b/>
          <w:bCs/>
          <w:sz w:val="24"/>
          <w:szCs w:val="24"/>
          <w:lang w:eastAsia="x-none"/>
        </w:rPr>
        <w:t xml:space="preserve"> </w:t>
      </w:r>
      <w:r>
        <w:rPr>
          <w:b/>
          <w:bCs/>
          <w:sz w:val="24"/>
          <w:szCs w:val="24"/>
          <w:lang w:eastAsia="x-none"/>
        </w:rPr>
        <w:t xml:space="preserve">Обязанности Исполнителя: 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Эффективно и с надлежащим качеством оказать услуги по мойке оконных витражей фасадов и окон зданий в соответствии с правилами по безопасности и охране труда, установленными для такого рода работ.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Предоставить штат сотрудников, необходимый для оказания услуг, обладающий необходимой квалификацией для выполнения высотных работ.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Привлекаемый персонал в обязательном порядке должен пройти инструктаж, а также ознакомиться с иной информацией для допуска к работе на объектах филиала.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Не допускать к работе (отстраняются от работы) персонал в состоянии алкогольного, наркотического или токсического опьянения, а также не допускать перенос и нахождение на территории размещения объектов веществ, вызывающих алкогольное, наркотическое или токсическое опьянение.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В течение всего периода оказания услуг обеспечить присутствие на объекте менеджера, ответственного за качество и технологию оказания услуг, а также за соблюдение правил техники безопасности и охраны труда в процессе оказания услуг на объекте.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Обеспечить всех сотрудников, привлекаемых к оказанию услуг на объекте Заказчика, полным (достаточным для оказания услуг с учетом специфики объекта и погодных условий) комплектом сертифицированной спецодежды, спецобуви при работе на высоте и другими необходимыми инструментами и оснасткой. 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Использовать для оказания услуг моющие составы, средства и способы очистки, соответствующие выполняемым работам и типам обрабатываемых поверхностей.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Самостоятельно обеспечивать транспортировку, погрузку-разгрузку и совершать иные действия, необходимые для доставки на объект оснащения и расходных материалов для обеспечения работы Исполнителя.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Следить за выполнением сотрудниками Исполнителя внутренних норм и правил, установленных на объекте для обеспечения безопасности и нормальной деятельности Заказчика, его сотрудников, а также сохранности и безопасности всех и любых объектов, расположенных на Объектах Заказчика.</w:t>
      </w:r>
    </w:p>
    <w:p>
      <w:pPr>
        <w:pStyle w:val="Normal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Исполнитель предоставляет гарантии на результаты оказанных услуг в течении 5 рабочих дней после оказания услуги.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Исполнитель обязан обеспечить сотрудников средствами индивидуальной защиты, согласно установленных норм с учетом конкретных условий производства и сезона выполнения наружных работ. Предохранительные пояса, каски и другие средства индивидуальной защиты должны выдаваться стеклопротирщикам в соответствии с условиями выполнения ими работ.</w:t>
      </w:r>
    </w:p>
    <w:p>
      <w:pPr>
        <w:pStyle w:val="Normal"/>
        <w:ind w:firstLine="284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Normal"/>
        <w:numPr>
          <w:ilvl w:val="1"/>
          <w:numId w:val="3"/>
        </w:numPr>
        <w:ind w:left="0" w:right="0" w:firstLine="709"/>
        <w:jc w:val="both"/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>Обязательства Заказчика:</w:t>
      </w:r>
    </w:p>
    <w:p>
      <w:pPr>
        <w:pStyle w:val="Normal"/>
        <w:numPr>
          <w:ilvl w:val="2"/>
          <w:numId w:val="3"/>
        </w:numPr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Заказчик назначает представителя для оперативного рассмотрения и решения технических и организационных вопросов, связанных с оказанием услуг.</w:t>
      </w:r>
    </w:p>
    <w:p>
      <w:pPr>
        <w:pStyle w:val="Normal"/>
        <w:numPr>
          <w:ilvl w:val="2"/>
          <w:numId w:val="3"/>
        </w:numPr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На период оказания услуг, Заказчиком безвозмездно предоставляются Исполнителю следующие ресурсы: электроэнергия, сжатый воздух, вода,  место для складирования ТМЦ, применяемого для оказания услуг, помещения для организации рабочих мест для мастеров и раздевалок для рабочего персонала.</w:t>
      </w:r>
    </w:p>
    <w:p>
      <w:pPr>
        <w:pStyle w:val="Normal"/>
        <w:numPr>
          <w:ilvl w:val="2"/>
          <w:numId w:val="3"/>
        </w:numPr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Ознакомление Исполнителя с локальными нормативными актами Заказчика, устанавливающими требования по охране труда, промышленной и пожарной безопасности, охране окружающей среды, правилами пропускного и внутриобъектового режима Заказчика.</w:t>
      </w:r>
    </w:p>
    <w:p>
      <w:pPr>
        <w:pStyle w:val="Normal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r>
    </w:p>
    <w:p>
      <w:pPr>
        <w:pStyle w:val="Normal"/>
        <w:widowControl/>
        <w:numPr>
          <w:ilvl w:val="1"/>
          <w:numId w:val="3"/>
        </w:numPr>
        <w:suppressAutoHyphens w:val="true"/>
        <w:bidi w:val="0"/>
        <w:spacing w:before="0" w:after="0"/>
        <w:ind w:left="0" w:right="0" w:firstLine="737"/>
        <w:jc w:val="left"/>
        <w:rPr>
          <w:b/>
          <w:bCs/>
          <w:sz w:val="24"/>
          <w:szCs w:val="24"/>
        </w:rPr>
      </w:pPr>
      <w:bookmarkStart w:id="22" w:name="_Toc146719875"/>
      <w:r>
        <w:rPr>
          <w:b/>
          <w:bCs/>
          <w:sz w:val="24"/>
          <w:szCs w:val="24"/>
        </w:rPr>
        <w:t>Требования к количественному составу и квалификации персонала</w:t>
      </w:r>
      <w:bookmarkEnd w:id="22"/>
    </w:p>
    <w:p>
      <w:pPr>
        <w:pStyle w:val="Heading3"/>
        <w:numPr>
          <w:ilvl w:val="2"/>
          <w:numId w:val="3"/>
        </w:numPr>
        <w:spacing w:before="0" w:after="0"/>
        <w:ind w:left="0" w:right="0" w:firstLine="709"/>
        <w:jc w:val="both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Исполнитель для проведения работ обязуется направить на объект для проведения работ персонал в количественном составе, необходимом для выполнения работ в объеме, указанном в настоящих технических требованиях. До проведения работ Исполнитель назначает лиц, ответственных за выполнение работ, с правом  подписи в акте-допуске и правами выдачи нарядов- допусков на выполняемые  работы по предварительному согласованию с представителем Заказчика на объекте (руководитель работ, производитель работ).</w:t>
      </w:r>
    </w:p>
    <w:p>
      <w:pPr>
        <w:pStyle w:val="Heading3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Исполнитель допускается на объект, в соответствии с нормативно-правовыми актами по охране труда, Методике допуска персонала подрядных организаций к выполнению работ на объектах Общества, утвержденную приказом ПАО «РусГидро» от 28.04.2023 № 300 «Об утверждении Регламента процесса «Допуск персонала подрядных организаций на объекты ПАО «РусГидро», Инструкции о пропускном и внитриобъектовом режимах филиала ПАО «Русгидро».</w:t>
      </w:r>
    </w:p>
    <w:p>
      <w:pPr>
        <w:pStyle w:val="Heading3"/>
        <w:numPr>
          <w:ilvl w:val="2"/>
          <w:numId w:val="3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Работы /услуги на объектах выполняются в соответствии со следующими требованиями: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 </w:t>
      </w:r>
      <w:r>
        <w:rPr>
          <w:b w:val="false"/>
          <w:bCs w:val="false"/>
          <w:color w:val="000000"/>
          <w:shd w:fill="auto" w:val="clear"/>
        </w:rPr>
        <w:t>- СТО РусГидро 02.01.80-2012 «Гидротехнические сооружения ГЭС и ГАЭС. Правила эксплуатации. Нормы и требования»,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 </w:t>
      </w:r>
      <w:r>
        <w:rPr>
          <w:b w:val="false"/>
          <w:bCs w:val="false"/>
          <w:color w:val="000000"/>
          <w:shd w:fill="auto" w:val="clear"/>
        </w:rPr>
        <w:t xml:space="preserve">- СТО РусГидро 05.02.126-2020 «Правила организации безопасного обслуживания, гидротехнических сооружений, гидросилового и гидромеханического оборудования гидроэлектростанций», 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- СТО РусГидро 02.01.62 – 2012 ГИДРОЭЛЕКТРОСТАНЦИИ.РЕМОНТ И ТЕХНИЧЕСКОЕ ОБСЛУЖИВАНИЕ ОБОРУДОВАНИЯ, ЗДАНИЙ И СООРУЖЕНИЙ.ОРГАНИЗАЦИЯ ПРОИЗВОДСТВЕННЫХ ПРОЦЕССОВ. НОРМЫ И ТРЕБОВАНИЯ,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-  Приказа от 15 декабря 2020 г. N 903н «Об утверждении правил по охране труда при эксплуатации электроустановок», 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-  Национального стандарта РФ ГОСТ Р 55260.1.7-2013,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-  Приказа Минтруда России от 27.11.2020 N 835н "Об утверждении Правил по охране труда при работе с инструментом и приспособлениями" (Зарегистрировано в Минюсте России 11.12.2020 N 61411), 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-  Федерального закона от 22.07.2008 № 123-ФЗ «Технический регламент о требованиях пожарной безопасности»,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 </w:t>
      </w:r>
      <w:r>
        <w:rPr>
          <w:b w:val="false"/>
          <w:bCs w:val="false"/>
          <w:color w:val="000000"/>
          <w:shd w:fill="auto" w:val="clear"/>
        </w:rPr>
        <w:t>- Федерального закона от 24.06.1998 № 89-ФЗ «Об отходах производства и потребления»,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-  Приказом Минтруда России от 16.11.2020 N 782н. «Об утверждении Правил по охране труда при работе на высоте»,</w:t>
      </w:r>
    </w:p>
    <w:p>
      <w:pPr>
        <w:pStyle w:val="ListParagraph"/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- Федерального закона от 10.01.2002 № 7-ФЗ «Об охране окружающей среды», Федерального закона от 30.03.1999 №52-ФЗ «О санитарно-эпидемиологическом благополучии населения», </w:t>
      </w:r>
    </w:p>
    <w:p>
      <w:pPr>
        <w:pStyle w:val="ListParagraph"/>
        <w:spacing w:before="0" w:after="0"/>
        <w:ind w:left="0" w:right="0" w:firstLine="709"/>
        <w:contextualSpacing w:val="false"/>
        <w:jc w:val="both"/>
        <w:rPr/>
      </w:pPr>
      <w:r>
        <w:rPr>
          <w:b w:val="false"/>
          <w:bCs w:val="false"/>
          <w:color w:val="000000"/>
          <w:shd w:fill="auto" w:val="clear"/>
        </w:rPr>
        <w:t>- Приказа Минтруда России от 29 октября 2021 года № 772н «Об утверждении основных требований к порядку разработки и содержанию правил и инструкций по охране труда»,</w:t>
      </w:r>
    </w:p>
    <w:p>
      <w:pPr>
        <w:pStyle w:val="ListParagraph"/>
        <w:spacing w:before="0" w:after="0"/>
        <w:ind w:left="0" w:right="0" w:firstLine="709"/>
        <w:contextualSpacing w:val="false"/>
        <w:jc w:val="both"/>
        <w:rPr/>
      </w:pPr>
      <w:r>
        <w:rPr>
          <w:b w:val="false"/>
          <w:bCs w:val="false"/>
          <w:color w:val="000000"/>
          <w:shd w:fill="auto" w:val="clear"/>
        </w:rPr>
        <w:t xml:space="preserve">- Приказом Минтруда России </w:t>
      </w:r>
      <w:r>
        <w:rPr>
          <w:b w:val="false"/>
          <w:bCs w:val="false"/>
          <w:color w:val="000000"/>
          <w:shd w:fill="auto" w:val="clear"/>
          <w:lang w:val="en-US"/>
        </w:rPr>
        <w:t>N</w:t>
      </w:r>
      <w:r>
        <w:rPr>
          <w:b w:val="false"/>
          <w:bCs w:val="false"/>
          <w:color w:val="000000"/>
          <w:shd w:fill="auto" w:val="clear"/>
        </w:rPr>
        <w:t xml:space="preserve"> 988н, Минздрава </w:t>
      </w:r>
      <w:r>
        <w:rPr>
          <w:b w:val="false"/>
          <w:bCs w:val="false"/>
          <w:color w:val="000000"/>
          <w:shd w:fill="auto" w:val="clear"/>
          <w:lang w:val="en-US"/>
        </w:rPr>
        <w:t>N</w:t>
      </w:r>
      <w:r>
        <w:rPr>
          <w:b w:val="false"/>
          <w:bCs w:val="false"/>
          <w:color w:val="000000"/>
          <w:shd w:fill="auto" w:val="clear"/>
        </w:rPr>
        <w:t xml:space="preserve"> 1420н от 31.12.2020. «Об утверждении перечня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при поступлении на работу и периодические медицинские осмотры».</w:t>
      </w:r>
    </w:p>
    <w:p>
      <w:pPr>
        <w:pStyle w:val="Heading3"/>
        <w:keepNext w:val="true"/>
        <w:widowControl/>
        <w:numPr>
          <w:ilvl w:val="2"/>
          <w:numId w:val="3"/>
        </w:numPr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 xml:space="preserve">Исполнитель до начала работ согласовывает с Филиалом, необходимые для выполнения работ, организационно-технологические документы. </w:t>
      </w:r>
    </w:p>
    <w:p>
      <w:pPr>
        <w:pStyle w:val="Heading3"/>
        <w:keepNext w:val="true"/>
        <w:widowControl/>
        <w:numPr>
          <w:ilvl w:val="2"/>
          <w:numId w:val="3"/>
        </w:numPr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  <w:t>Документы, подтверждающие квалификацию персонала, прохождение обучения, необходимого для выполнения работ, Исполнитель предоставляет после заключения договора до начала предоставления/выполнения услуг на объекте представителю Заказчика в Филиале.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firstLine="709"/>
        <w:jc w:val="both"/>
        <w:outlineLvl w:val="2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x-none" w:bidi="ar-SA"/>
        </w:rPr>
      </w:r>
    </w:p>
    <w:p>
      <w:pPr>
        <w:pStyle w:val="Heading3"/>
        <w:keepNext w:val="true"/>
        <w:widowControl/>
        <w:numPr>
          <w:ilvl w:val="0"/>
          <w:numId w:val="12"/>
        </w:numPr>
        <w:suppressAutoHyphens w:val="true"/>
        <w:bidi w:val="0"/>
        <w:spacing w:before="0" w:after="0"/>
        <w:ind w:left="0" w:right="0" w:firstLine="709"/>
        <w:rPr/>
      </w:pPr>
      <w:bookmarkStart w:id="23" w:name="_Toc130995413"/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 xml:space="preserve">Требования к </w:t>
      </w:r>
      <w:bookmarkEnd w:id="23"/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>услугам</w:t>
      </w:r>
    </w:p>
    <w:p>
      <w:pPr>
        <w:pStyle w:val="Heading3"/>
        <w:keepNext w:val="true"/>
        <w:widowControl/>
        <w:numPr>
          <w:ilvl w:val="1"/>
          <w:numId w:val="12"/>
        </w:numPr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</w:pPr>
      <w:bookmarkStart w:id="24" w:name="_Toc130995414"/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>Требования к объемам и срокам оказания услуг</w:t>
      </w:r>
      <w:bookmarkEnd w:id="24"/>
    </w:p>
    <w:p>
      <w:pPr>
        <w:pStyle w:val="Heading3"/>
        <w:keepNext w:val="true"/>
        <w:widowControl/>
        <w:numPr>
          <w:ilvl w:val="2"/>
          <w:numId w:val="12"/>
        </w:numPr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 xml:space="preserve"> </w:t>
      </w:r>
      <w:bookmarkStart w:id="25" w:name="_Toc130995415"/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>Требования к перечню и объему услуг</w:t>
      </w:r>
      <w:bookmarkEnd w:id="25"/>
    </w:p>
    <w:p>
      <w:pPr>
        <w:pStyle w:val="Heading3"/>
        <w:widowControl/>
        <w:numPr>
          <w:ilvl w:val="0"/>
        </w:numPr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</w:pPr>
      <w:bookmarkStart w:id="26" w:name="_Toc130995416"/>
      <w:bookmarkStart w:id="27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7"/>
      <w:r>
        <w:rPr>
          <w:sz w:val="24"/>
          <w:szCs w:val="24"/>
          <w:lang w:val="ru-RU"/>
        </w:rPr>
        <w:t>и объем оказываемых услуг</w:t>
      </w:r>
      <w:bookmarkEnd w:id="26"/>
    </w:p>
    <w:tbl>
      <w:tblPr>
        <w:tblW w:w="1014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20"/>
        <w:gridCol w:w="4398"/>
        <w:gridCol w:w="1202"/>
        <w:gridCol w:w="2655"/>
        <w:gridCol w:w="1365"/>
      </w:tblGrid>
      <w:tr>
        <w:trPr>
          <w:trHeight w:val="167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fill="auto" w:val="clear"/>
                <w:lang w:val="ru-RU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fill="auto" w:val="clear"/>
                <w:lang w:val="ru-RU"/>
              </w:rPr>
              <w:t>п/п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fill="auto" w:val="clear"/>
                <w:lang w:val="ru-RU"/>
              </w:rPr>
              <w:t>Наименование услуг / этапа услуг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0"/>
                <w:szCs w:val="20"/>
                <w:shd w:fill="auto" w:val="clear"/>
                <w:lang w:val="ru-RU"/>
              </w:rPr>
              <w:t>Единица измерения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0"/>
                <w:szCs w:val="20"/>
                <w:shd w:fill="auto" w:val="clear"/>
                <w:lang w:val="ru-RU"/>
              </w:rPr>
              <w:t>Объем оказания Услуг*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Периодичность</w:t>
            </w:r>
          </w:p>
        </w:tc>
      </w:tr>
      <w:tr>
        <w:trPr>
          <w:trHeight w:val="83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  <w:lang w:val="ru-RU"/>
              </w:rPr>
              <w:t>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  <w:lang w:val="ru-RU"/>
              </w:rPr>
              <w:t>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0"/>
                <w:szCs w:val="20"/>
                <w:shd w:fill="auto" w:val="clear"/>
                <w:lang w:val="ru-RU"/>
              </w:rPr>
              <w:t>3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0"/>
                <w:szCs w:val="20"/>
                <w:shd w:fill="auto" w:val="clear"/>
                <w:lang w:val="ru-RU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eastAsia="Times New Roman" w:cs="Times New Roman"/>
                <w:b/>
                <w:color w:val="auto"/>
                <w:kern w:val="0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5</w:t>
            </w:r>
          </w:p>
        </w:tc>
      </w:tr>
      <w:tr>
        <w:trPr>
          <w:trHeight w:val="69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shd w:fill="auto" w:val="clear"/>
                <w:lang w:val="ru-RU"/>
              </w:rPr>
              <w:t>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before="120" w:after="120"/>
              <w:ind w:left="0" w:right="0" w:hanging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  <w:lang w:val="ru-RU"/>
              </w:rPr>
              <w:t>ОКПД2 81.22.11.000 Оказание услуг по мытью окон и фасада на объектах филиала ПАО «РусГидро» - «Карачаево-Черкесский филиал»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ind w:left="0" w:righ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iCs/>
                <w:sz w:val="20"/>
                <w:szCs w:val="20"/>
                <w:shd w:fill="auto" w:val="clear"/>
                <w:lang w:val="ru-RU"/>
              </w:rPr>
              <w:t>Усл. ед.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ind w:left="0" w:righ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iCs/>
                <w:sz w:val="20"/>
                <w:szCs w:val="20"/>
                <w:shd w:fill="auto" w:val="clear"/>
                <w:lang w:val="ru-RU"/>
              </w:rPr>
              <w:t>В соответствии с Ведомостью объема работ (Приложение № 1 к ТТ)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ind w:left="0" w:right="0" w:hanging="0"/>
              <w:jc w:val="center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20"/>
                <w:szCs w:val="2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По Заявкам Заказчика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bidi w:val="0"/>
        <w:spacing w:before="0" w:after="0"/>
        <w:ind w:left="227" w:right="0" w:hanging="0"/>
        <w:jc w:val="both"/>
        <w:rPr>
          <w:b w:val="false"/>
          <w:bCs w:val="false"/>
        </w:rPr>
      </w:pPr>
      <w:r>
        <w:rPr>
          <w:rFonts w:eastAsia="Calibri"/>
          <w:b w:val="false"/>
          <w:bCs w:val="false"/>
          <w:i/>
          <w:iCs/>
          <w:sz w:val="22"/>
          <w:szCs w:val="22"/>
          <w:shd w:fill="auto" w:val="clear"/>
          <w:lang w:val="x-none" w:eastAsia="x-none"/>
        </w:rPr>
        <w:t>*Информация об объеме услуг имеет информационно-справочный характер и приведена исходя из планируемого к приобретению Заказчиком объема услуг. Указание количества не налагает на Заказчика обязательств по приобретению услуг в полном объёме, указанном в настоящих Технических требованиях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bidi w:val="0"/>
        <w:spacing w:before="0" w:after="0"/>
        <w:ind w:left="227" w:right="0" w:hanging="0"/>
        <w:jc w:val="both"/>
        <w:rPr>
          <w:rFonts w:eastAsia="Calibri"/>
          <w:b/>
          <w:i/>
          <w:i/>
          <w:iCs/>
          <w:sz w:val="22"/>
          <w:szCs w:val="22"/>
          <w:highlight w:val="none"/>
          <w:shd w:fill="auto" w:val="clear"/>
          <w:lang w:val="x-none" w:eastAsia="x-none"/>
        </w:rPr>
      </w:pPr>
      <w:r>
        <w:rPr>
          <w:rFonts w:eastAsia="Calibri"/>
          <w:b/>
          <w:i/>
          <w:iCs/>
          <w:sz w:val="22"/>
          <w:szCs w:val="22"/>
          <w:shd w:fill="auto" w:val="clear"/>
          <w:lang w:val="x-none" w:eastAsia="x-none"/>
        </w:rPr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426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</w:pPr>
      <w:bookmarkStart w:id="28" w:name="_Toc130995417"/>
      <w:bookmarkStart w:id="29" w:name="_Toc51339696"/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 xml:space="preserve">Требования </w:t>
      </w:r>
      <w:bookmarkEnd w:id="29"/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>к срокам оказания услуг</w:t>
      </w:r>
      <w:bookmarkEnd w:id="28"/>
    </w:p>
    <w:p>
      <w:pPr>
        <w:pStyle w:val="Normal"/>
        <w:widowControl w:val="false"/>
        <w:tabs>
          <w:tab w:val="clear" w:pos="708"/>
          <w:tab w:val="left" w:pos="426" w:leader="none"/>
        </w:tabs>
        <w:bidi w:val="0"/>
        <w:spacing w:before="0" w:after="0"/>
        <w:ind w:left="0" w:right="0" w:firstLine="709"/>
        <w:jc w:val="both"/>
        <w:rPr>
          <w:b/>
          <w:bCs/>
        </w:rPr>
      </w:pPr>
      <w:bookmarkStart w:id="30" w:name="_Toc130995418"/>
      <w:bookmarkStart w:id="31" w:name="_Toc51339697"/>
      <w:bookmarkStart w:id="32" w:name="_Toc50125127"/>
      <w:r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  <w:lang w:val="ru-RU"/>
        </w:rPr>
        <w:t>3</w:t>
      </w:r>
      <w:r>
        <w:rPr>
          <w:b/>
          <w:bCs/>
          <w:sz w:val="24"/>
          <w:szCs w:val="24"/>
        </w:rPr>
        <w:t xml:space="preserve">. </w:t>
      </w:r>
      <w:bookmarkStart w:id="33" w:name="_Hlk50465284"/>
      <w:r>
        <w:rPr>
          <w:b/>
          <w:bCs/>
          <w:sz w:val="24"/>
          <w:szCs w:val="24"/>
        </w:rPr>
        <w:t xml:space="preserve">Требования </w:t>
      </w:r>
      <w:r>
        <w:rPr>
          <w:b/>
          <w:bCs/>
          <w:sz w:val="24"/>
          <w:szCs w:val="24"/>
          <w:lang w:val="ru-RU"/>
        </w:rPr>
        <w:t>к</w:t>
      </w:r>
      <w:r>
        <w:rPr>
          <w:b/>
          <w:bCs/>
          <w:sz w:val="24"/>
          <w:szCs w:val="24"/>
        </w:rPr>
        <w:t xml:space="preserve"> срокам </w:t>
      </w:r>
      <w:bookmarkEnd w:id="31"/>
      <w:bookmarkEnd w:id="32"/>
      <w:bookmarkEnd w:id="33"/>
      <w:r>
        <w:rPr>
          <w:b/>
          <w:bCs/>
          <w:sz w:val="24"/>
          <w:szCs w:val="24"/>
          <w:lang w:val="ru-RU"/>
        </w:rPr>
        <w:t>оказания услуг</w:t>
      </w:r>
      <w:bookmarkEnd w:id="30"/>
    </w:p>
    <w:tbl>
      <w:tblPr>
        <w:tblW w:w="1022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32"/>
        <w:gridCol w:w="5125"/>
        <w:gridCol w:w="2335"/>
        <w:gridCol w:w="2335"/>
      </w:tblGrid>
      <w:tr>
        <w:trPr>
          <w:trHeight w:val="20" w:hRule="atLeas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услуг/ этапа услуг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началу срока оказания услуг/ этапа услуг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окончанию срока оказания услуг / этапа услуг</w:t>
            </w:r>
          </w:p>
        </w:tc>
      </w:tr>
      <w:tr>
        <w:trPr>
          <w:trHeight w:val="20" w:hRule="atLeas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>
        <w:trPr>
          <w:trHeight w:val="20" w:hRule="atLeas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ind w:lef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ОКПД2 81.22.11.000 Оказание услуг по мытью окон и фасада на объектах филиала ПАО «РусГидро» - «Карачаево-Черкесский филиал»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30.09.2026</w:t>
            </w:r>
          </w:p>
        </w:tc>
      </w:tr>
    </w:tbl>
    <w:p>
      <w:p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134" w:right="512" w:gutter="0" w:header="680" w:top="1134" w:footer="0" w:bottom="992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12"/>
        </w:numPr>
        <w:spacing w:lineRule="auto" w:line="240"/>
        <w:ind w:left="432" w:right="0" w:hanging="432"/>
        <w:jc w:val="left"/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</w:pPr>
      <w:bookmarkStart w:id="34" w:name="_Toc51339698"/>
      <w:bookmarkStart w:id="35" w:name="_Toc130995419"/>
      <w:bookmarkStart w:id="36" w:name="_Toc46743511"/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 xml:space="preserve">Требования к </w:t>
      </w:r>
      <w:bookmarkEnd w:id="36"/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>качеству услуг</w:t>
      </w:r>
      <w:bookmarkEnd w:id="35"/>
    </w:p>
    <w:p>
      <w:pPr>
        <w:pStyle w:val="Heading4"/>
        <w:numPr>
          <w:ilvl w:val="0"/>
        </w:numPr>
        <w:spacing w:lineRule="auto" w:line="240"/>
        <w:ind w:left="432" w:right="0" w:hanging="432"/>
        <w:jc w:val="left"/>
        <w:rPr/>
      </w:pPr>
      <w:bookmarkStart w:id="37" w:name="_Toc130995420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4"/>
      <w:r>
        <w:rPr>
          <w:sz w:val="24"/>
          <w:szCs w:val="24"/>
          <w:lang w:val="ru-RU"/>
        </w:rPr>
        <w:t>качеству услуг</w:t>
      </w:r>
      <w:bookmarkEnd w:id="37"/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/>
        <w:jc w:val="both"/>
        <w:rPr/>
      </w:pPr>
      <w:r>
        <w:rPr>
          <w:b/>
          <w:bCs/>
          <w:sz w:val="24"/>
          <w:szCs w:val="24"/>
        </w:rPr>
        <w:t xml:space="preserve">Наименование услуг/этапа услуг: </w:t>
      </w:r>
      <w:r>
        <w:rPr>
          <w:rFonts w:eastAsia="Calibri"/>
          <w:b w:val="false"/>
          <w:bCs w:val="false"/>
          <w:iCs/>
          <w:sz w:val="24"/>
          <w:szCs w:val="24"/>
          <w:lang w:eastAsia="x-none"/>
        </w:rPr>
        <w:t>ОКПД2 81.22.11.000 Оказание услуг по мытью окон и фасада на объектах филиала ПАО «РусГидро» - «Карачаево-Черкесский филиал»</w:t>
      </w:r>
    </w:p>
    <w:tbl>
      <w:tblPr>
        <w:tblStyle w:val="af"/>
        <w:tblW w:w="1488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1"/>
        <w:gridCol w:w="2267"/>
        <w:gridCol w:w="3403"/>
        <w:gridCol w:w="2692"/>
        <w:gridCol w:w="2927"/>
        <w:gridCol w:w="2744"/>
      </w:tblGrid>
      <w:tr>
        <w:trPr>
          <w:trHeight w:val="20" w:hRule="atLeast"/>
        </w:trPr>
        <w:tc>
          <w:tcPr>
            <w:tcW w:w="85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226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40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561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74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85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26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40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bookmarkStart w:id="38" w:name="_Toc53499667"/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  <w:bookmarkEnd w:id="38"/>
          </w:p>
        </w:tc>
        <w:tc>
          <w:tcPr>
            <w:tcW w:w="22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7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Общие требования к оказанию услуг</w:t>
            </w:r>
          </w:p>
        </w:tc>
        <w:tc>
          <w:tcPr>
            <w:tcW w:w="2692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Общие технические условия для оказания услуг</w:t>
            </w:r>
          </w:p>
        </w:tc>
        <w:tc>
          <w:tcPr>
            <w:tcW w:w="340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Осуществляются в соответствии с ГОСТ Р51870-2014 «Услуги профессиональной уборки – клининговые услуги» (дата введения 01.07.2015)</w:t>
            </w:r>
          </w:p>
        </w:tc>
        <w:tc>
          <w:tcPr>
            <w:tcW w:w="269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Подготовка рабочих мест и допуск на рабочие места выполняет персонал Заказчика</w:t>
            </w:r>
          </w:p>
        </w:tc>
        <w:tc>
          <w:tcPr>
            <w:tcW w:w="340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соответствии с СТО 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 (Приложение №2 к настоящим ТТ)</w:t>
            </w:r>
          </w:p>
        </w:tc>
        <w:tc>
          <w:tcPr>
            <w:tcW w:w="269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обеспечивает соблюдение техники безопасности при оказании услуг, требований к квалификации персонала.</w:t>
            </w:r>
          </w:p>
        </w:tc>
        <w:tc>
          <w:tcPr>
            <w:tcW w:w="340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соответствии со статьёй 214 Трудового Кодекса РФ, ЕТКС работ и рабочих профессий</w:t>
            </w:r>
          </w:p>
        </w:tc>
        <w:tc>
          <w:tcPr>
            <w:tcW w:w="269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способам оказания услуг</w:t>
            </w:r>
          </w:p>
        </w:tc>
        <w:tc>
          <w:tcPr>
            <w:tcW w:w="2692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Требование к способам оказания услуг</w:t>
            </w:r>
          </w:p>
        </w:tc>
        <w:tc>
          <w:tcPr>
            <w:tcW w:w="340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должен руководствоваться Приказом Минтруда России от 16.11.2020 N 782н «Об утверждении Правил по охране труда при работе на высоте»</w:t>
            </w:r>
          </w:p>
        </w:tc>
        <w:tc>
          <w:tcPr>
            <w:tcW w:w="269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Организационно-технические мероприятия по допуску персонала исполнителя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Осуществляется в соответствии с регламентом «О допуске персонала подрядных организаций на объектах ПАО «РусГидро» (утв. приказом ПАО «РусГидро» № 300 от 28.04.2023 г.) (Приложение № 3 к настоящим ТТ). с обязательным оформлением необходимых нарядов-допусков.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center"/>
              <w:outlineLvl w:val="2"/>
              <w:rPr>
                <w:rFonts w:ascii="Times New Roman" w:hAnsi="Times New Roman"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iCs/>
                <w:kern w:val="0"/>
                <w:sz w:val="20"/>
                <w:szCs w:val="20"/>
                <w:lang w:val="ru-RU" w:eastAsia="ru-RU" w:bidi="ar-SA"/>
              </w:rPr>
              <w:t>Требования к самостоятельному приобретению исполнителем используемого при оказании услуг оборудования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 момент подачи заявки участник должен иметь технические средства в необходимом объеме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692" w:type="dxa"/>
            <w:tcBorders>
              <w:top w:val="nil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>
              <w:top w:val="nil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1. Исполнитель, не позднее 20 дней до начала оказания услуг, производит предварительный осмотр объектов воздействия и уточняет с Заказчиком объем и состав услуг.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2. Персонал Исполнителя обеспечивает поддержание чистоты на рабочих местах, своевременную уборку и вывоз отходов по окончании оказания услуг.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3. Исполнитель обеспечивает текущий контроль оказываемых услуг, включающий в себя надзор за правильностью и последовательностью выполнения отдельных технологических операций;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4. Исполнитель, по запросу Заказчика, представляет официальным письмом отчет в произвольной форме о текущем статусе и существующих рисках исполнения своих обязательств;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5. Отходы, образующиеся в результате деятельности Исполнителя, в том числе отходы, образующиеся в процессе административно-хозяйственной деятельности персонала Исполнителя на территории Филиала, являются собственностью Исполнителя. Деятельность по обращению с такими отходами, а также связанная с этим ответственность, является обязанностью Исполнителя.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6. Исполнитель при выполнении работ обеспечивает соблюдение санитарных требований и требований в области охраны окружающей среды к обращению с отходами, установленных законодательством Российской Федерации.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Перечень этапов и видов работ, подлежащих приемке, должен быть согласован с Заказчиком;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1.4.1</w:t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firstLine="28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должен иметь собственный или привлеченный (по трудовым договорам) квалифицированный персонал.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должны подтвердить соответствие квалификации персонала, участвующего в выполнении работ на территории Заказчика.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слуг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Общие требования к результатам услуг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Результат оказания услуг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iCs/>
                <w:kern w:val="0"/>
                <w:sz w:val="20"/>
                <w:szCs w:val="20"/>
                <w:lang w:val="ru-RU" w:eastAsia="ru-RU" w:bidi="ar-SA"/>
              </w:rPr>
              <w:t>Отсутствие, потеков, высохших капель и брызг чистящего вещества, а также пятен и прочих отметок, за исключением тех видов пятен и загрязнений, выведение которых может вызвать разрушение структуры фасада или ее поверхности (нарушение окраски, рельефа и др.)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iCs/>
                <w:kern w:val="0"/>
                <w:sz w:val="20"/>
                <w:szCs w:val="20"/>
                <w:lang w:val="ru-RU" w:eastAsia="ru-RU" w:bidi="ar-SA"/>
              </w:rPr>
              <w:t>Отсутствие скопления грязи и пыли на стекле и рамах,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center"/>
              <w:outlineLvl w:val="2"/>
              <w:rPr>
                <w:rFonts w:ascii="Times New Roman" w:hAnsi="Times New Roman"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приемке результата оказания у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слуг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Приемка услуг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Производится совместно с представителями Исполнителя и Заказчика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2.2.2</w:t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оформляет отчетную и исполнительную документацию в соответствии с требованиями раздела 9 ГОСТ Р 51870-2014 «Услуги профессиональной уборки – клининговые услуги. Общие технические условия»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692" w:type="dxa"/>
            <w:tcBorders>
              <w:top w:val="nil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>
              <w:top w:val="nil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 окончании оказания Услуг Исполнитель в течение 3 (трех) рабочих дней предоставляет Заказчику подписанный со своей стороны в 2 (двух) экземплярах УПД.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Исполнитель представляет Заказчику с УПД исполнительную документацию (сертификаты качества на применённые материалы и химические средства).</w:t>
            </w:r>
          </w:p>
        </w:tc>
        <w:tc>
          <w:tcPr>
            <w:tcW w:w="269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74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692" w:type="dxa"/>
            <w:tcBorders>
              <w:top w:val="nil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>
              <w:top w:val="nil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обязан оказывать услуги в соответствии с действующим законодательством Российской Федерации с обязательным соблюдением норм и правил охраны труда, пожарной безопасности и техники безопасности, экологической безопасности и производственной санитарии, учитывая специфику действующего учреждения, в том числе: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Федерального закона РФ от 10.01.2002 №7-ФЗ «Об охране окружающей среды» (с изменениями на 31 июля 2020 года);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Федерального закона РФ от 30.03.1999 №52-ФЗ «О санитарно-эпидемиологическом благополучии населения» (с изменениями на 13 июля 2020 года);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Постановление Правительства РФ от 25.04.2012 №390 «О противопожарном режиме» (с изменениями на 23 апреля 2020 года);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Приказа Министерства здравоохранения и социального развития РФ от 01.06.2009 №290н (с изменениями на 12 января 2015 года) «Об утверждении Межотраслевых правил обеспечения работников специальной одеждой, специальной обувью и другими средствами индивидуальной защиты» (с изменениями на 12 января 2015 года);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ГОСТ 12.1.004-91 «Система стандартов безопасности труда (ССБТ). Пожарная безопасность. Общие требования» (с Изменением № 1);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ГОСТ 12.1.007-76 Система стандартов безопасности труда (ССБТ). Вредные вещества. Классификация и общие требования безопасности (с Изменениями № 1, 2);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Если перечень документов, указанный выше, заменен (изменен), то при использовании следует руководствоваться действующими версиями законодательства Российской Федерации и нормативно-технической документации, действующей на этапе исполнения договора.</w:t>
            </w:r>
          </w:p>
        </w:tc>
        <w:tc>
          <w:tcPr>
            <w:tcW w:w="269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74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Гарантия качества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При обнаружении некачественно выполненной работы при приемке услуг исполнитель обязуется исправить в срок до 2 рабочих дней.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744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6"/>
          <w:headerReference w:type="first" r:id="rId7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Normal"/>
        <w:numPr>
          <w:ilvl w:val="0"/>
          <w:numId w:val="12"/>
        </w:numPr>
        <w:spacing w:before="0" w:after="0"/>
        <w:jc w:val="center"/>
        <w:rPr>
          <w:rFonts w:ascii="Times New Roman" w:hAnsi="Times New Roman"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>Требования к документации по ценообразованию на этапе закупки</w:t>
      </w:r>
    </w:p>
    <w:p>
      <w:pPr>
        <w:pStyle w:val="Normal"/>
        <w:numPr>
          <w:ilvl w:val="1"/>
          <w:numId w:val="12"/>
        </w:numPr>
        <w:spacing w:before="0" w:after="0"/>
        <w:ind w:lef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x-none" w:bidi="ar-SA"/>
        </w:rPr>
        <w:t>Участники дают снижение от начальной (максимальной) цены, указанной в Документации о закупке.</w:t>
      </w:r>
    </w:p>
    <w:p>
      <w:pPr>
        <w:pStyle w:val="Normal"/>
        <w:numPr>
          <w:ilvl w:val="1"/>
          <w:numId w:val="12"/>
        </w:numPr>
        <w:spacing w:before="0" w:after="0"/>
        <w:ind w:lef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x-none" w:bidi="ar-SA"/>
        </w:rPr>
        <w:t>В обоснование стоимости своей заявки Участник предоставляет Коммерческое предложение по форме 3 (с учетом прилагаемой к ней инструкции по заполнению), приведенной в Документации о закупке.</w:t>
      </w:r>
    </w:p>
    <w:p>
      <w:pPr>
        <w:pStyle w:val="Normal"/>
        <w:numPr>
          <w:ilvl w:val="1"/>
          <w:numId w:val="12"/>
        </w:numPr>
        <w:spacing w:before="0" w:after="0"/>
        <w:ind w:lef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x-none" w:bidi="ar-SA"/>
        </w:rPr>
        <w:t>Путём расчёта по формуле {[(Цена (указанная в Извещении) - Цена (предложенная Участником)) ÷ Цена (указанная в Извещении)] × 100} (с применением в обязательном порядке правил математического округления до двух знаков после запятой) определяется единый процент снижения, применяемый к сметной стоимости по каждой Заявке при формировании сметных расчетов по Заявкам.</w:t>
      </w:r>
    </w:p>
    <w:p>
      <w:pPr>
        <w:pStyle w:val="Normal"/>
        <w:numPr>
          <w:ilvl w:val="1"/>
          <w:numId w:val="12"/>
        </w:numPr>
        <w:spacing w:before="0" w:after="0"/>
        <w:ind w:lef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x-none" w:bidi="ar-SA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x-none" w:bidi="ar-SA"/>
        </w:rPr>
        <w:t>Для расчета процента снижения по формуле рассматриваются начальная (максимальная) цена лота (договора), указанная в Документации и цена, предложенная Участником, без учета НДС.</w:t>
      </w:r>
    </w:p>
    <w:p>
      <w:pPr>
        <w:pStyle w:val="Normal"/>
        <w:numPr>
          <w:ilvl w:val="0"/>
          <w:numId w:val="0"/>
        </w:numPr>
        <w:spacing w:before="0" w:after="0"/>
        <w:ind w:left="709" w:hanging="0"/>
        <w:contextualSpacing/>
        <w:jc w:val="left"/>
        <w:rPr>
          <w:b w:val="false"/>
          <w:bCs w:val="false"/>
          <w:iCs/>
        </w:rPr>
      </w:pPr>
      <w:r>
        <w:rPr>
          <w:b w:val="false"/>
          <w:bCs w:val="false"/>
          <w:iCs/>
        </w:rPr>
      </w:r>
    </w:p>
    <w:p>
      <w:pPr>
        <w:pStyle w:val="Normal"/>
        <w:numPr>
          <w:ilvl w:val="0"/>
          <w:numId w:val="12"/>
        </w:numPr>
        <w:spacing w:before="0" w:after="0"/>
        <w:ind w:left="0" w:right="0" w:firstLine="709"/>
        <w:jc w:val="center"/>
        <w:rPr>
          <w:b/>
          <w:bCs/>
        </w:rPr>
      </w:pPr>
      <w:r>
        <w:rPr>
          <w:rFonts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Fonts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>Требования к документации по ценообразованию на этапе заключения (исполнения) договора</w:t>
      </w:r>
    </w:p>
    <w:p>
      <w:pPr>
        <w:pStyle w:val="Normal"/>
        <w:numPr>
          <w:ilvl w:val="1"/>
          <w:numId w:val="12"/>
        </w:numPr>
        <w:spacing w:before="0" w:after="0"/>
        <w:ind w:left="0" w:firstLine="709"/>
        <w:jc w:val="both"/>
        <w:rPr>
          <w:rFonts w:ascii="Times New Roman" w:hAnsi="Times New Roman"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Процент снижения, по итогам проведения процедуры закупки, применяемый к сметной стоимости, будет зафиксирован в Договоре. </w:t>
      </w:r>
    </w:p>
    <w:p>
      <w:pPr>
        <w:pStyle w:val="Normal"/>
        <w:numPr>
          <w:ilvl w:val="1"/>
          <w:numId w:val="12"/>
        </w:numPr>
        <w:spacing w:before="0" w:after="0"/>
        <w:ind w:left="0" w:firstLine="709"/>
        <w:jc w:val="both"/>
        <w:rPr>
          <w:rFonts w:ascii="Times New Roman" w:hAnsi="Times New Roman"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Сметная документация в состав заявки Участника не включается. Сметная документация составляется в обязательном порядке в соответствии с Требованиями к оформлению и составлению документации по ценообразованию (Приложение №4 к Техническим требованиям) с учетом процента снижения по итогам проведения процедуры закупки, применяемого в обязательном порядке к сметной стоимости по каждой Заявке.</w:t>
      </w:r>
    </w:p>
    <w:p>
      <w:pPr>
        <w:pStyle w:val="Normal"/>
        <w:spacing w:before="0" w:after="0"/>
        <w:ind w:left="709" w:hanging="0"/>
        <w:contextualSpacing/>
        <w:jc w:val="left"/>
        <w:rPr>
          <w:rFonts w:ascii="Times New Roman" w:hAnsi="Times New Roman"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</w:r>
    </w:p>
    <w:p>
      <w:pPr>
        <w:pStyle w:val="Normal"/>
        <w:spacing w:before="0" w:after="0"/>
        <w:ind w:left="709" w:hanging="0"/>
        <w:contextualSpacing/>
        <w:jc w:val="left"/>
        <w:rPr>
          <w:rFonts w:ascii="Times New Roman" w:hAnsi="Times New Roman"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</w:r>
    </w:p>
    <w:p>
      <w:pPr>
        <w:pStyle w:val="Normal"/>
        <w:numPr>
          <w:ilvl w:val="0"/>
          <w:numId w:val="12"/>
        </w:numPr>
        <w:spacing w:before="0" w:after="0"/>
        <w:ind w:left="0" w:firstLine="709"/>
        <w:jc w:val="center"/>
        <w:rPr>
          <w:b/>
          <w:bCs/>
        </w:rPr>
      </w:pPr>
      <w:r>
        <w:rPr>
          <w:rFonts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>Приложения</w:t>
      </w:r>
    </w:p>
    <w:p>
      <w:pPr>
        <w:pStyle w:val="Normal"/>
        <w:numPr>
          <w:ilvl w:val="0"/>
          <w:numId w:val="0"/>
        </w:numPr>
        <w:spacing w:before="0" w:after="0"/>
        <w:ind w:left="0" w:right="0" w:hanging="0"/>
        <w:contextualSpacing/>
        <w:jc w:val="both"/>
        <w:rPr>
          <w:rFonts w:eastAsia="Calibri"/>
          <w:b w:val="false"/>
          <w:bCs w:val="false"/>
          <w:sz w:val="24"/>
          <w:szCs w:val="24"/>
        </w:rPr>
      </w:pPr>
      <w:r>
        <w:rPr>
          <w:rFonts w:eastAsia="Calibri"/>
          <w:b w:val="false"/>
          <w:bCs w:val="false"/>
          <w:sz w:val="24"/>
          <w:szCs w:val="24"/>
        </w:rPr>
        <w:t>Приложение № 1 – Ведомость объемов работ</w:t>
      </w:r>
    </w:p>
    <w:p>
      <w:pPr>
        <w:pStyle w:val="Normal"/>
        <w:numPr>
          <w:ilvl w:val="0"/>
          <w:numId w:val="0"/>
        </w:numPr>
        <w:spacing w:before="0" w:after="0"/>
        <w:ind w:left="0" w:right="0" w:hanging="0"/>
        <w:contextualSpacing/>
        <w:jc w:val="both"/>
        <w:rPr>
          <w:rFonts w:eastAsia="Calibri"/>
          <w:b w:val="false"/>
          <w:bCs w:val="false"/>
          <w:sz w:val="24"/>
          <w:szCs w:val="24"/>
        </w:rPr>
      </w:pPr>
      <w:r>
        <w:rPr>
          <w:rFonts w:eastAsia="Calibri"/>
          <w:b w:val="false"/>
          <w:bCs w:val="false"/>
          <w:sz w:val="24"/>
          <w:szCs w:val="24"/>
        </w:rPr>
        <w:t>Приложение №2 - Правила организации безопасного обслуживания ГТС гидросилового и гидромеханического оборудования.</w:t>
      </w:r>
    </w:p>
    <w:p>
      <w:pPr>
        <w:pStyle w:val="Normal"/>
        <w:numPr>
          <w:ilvl w:val="0"/>
          <w:numId w:val="0"/>
        </w:numPr>
        <w:spacing w:before="0" w:after="0"/>
        <w:ind w:left="0" w:right="0" w:hanging="0"/>
        <w:contextualSpacing/>
        <w:jc w:val="both"/>
        <w:rPr>
          <w:rFonts w:eastAsia="Calibri"/>
          <w:b w:val="false"/>
          <w:bCs w:val="false"/>
          <w:sz w:val="24"/>
          <w:szCs w:val="24"/>
        </w:rPr>
      </w:pPr>
      <w:r>
        <w:rPr>
          <w:rFonts w:eastAsia="Calibri"/>
          <w:b w:val="false"/>
          <w:bCs w:val="false"/>
          <w:sz w:val="24"/>
          <w:szCs w:val="24"/>
        </w:rPr>
        <w:t>Приложение №3 - Методика допуска персонала подрядных организаций к выполнению работ на объектах Общества</w:t>
      </w:r>
    </w:p>
    <w:p>
      <w:pPr>
        <w:pStyle w:val="Normal"/>
        <w:numPr>
          <w:ilvl w:val="0"/>
          <w:numId w:val="0"/>
        </w:numPr>
        <w:spacing w:before="0" w:after="0"/>
        <w:ind w:left="0" w:right="0" w:hanging="0"/>
        <w:contextualSpacing/>
        <w:jc w:val="both"/>
        <w:rPr>
          <w:rFonts w:eastAsia="Calibri"/>
          <w:b w:val="false"/>
          <w:bCs w:val="false"/>
          <w:sz w:val="24"/>
          <w:szCs w:val="24"/>
        </w:rPr>
      </w:pPr>
      <w:bookmarkStart w:id="39" w:name="_Toc46743519"/>
      <w:bookmarkEnd w:id="39"/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x-none" w:bidi="ar-SA"/>
        </w:rPr>
        <w:t>Приложение № 4 - Требования к оформлению и составлению документации по ценообразованию</w:t>
      </w:r>
      <w:r>
        <w:br w:type="page"/>
      </w:r>
    </w:p>
    <w:p>
      <w:pPr>
        <w:pStyle w:val="Normal"/>
        <w:spacing w:before="0" w:after="0"/>
        <w:ind w:left="0" w:right="0" w:hanging="0"/>
        <w:contextualSpacing/>
        <w:jc w:val="right"/>
        <w:rPr>
          <w:b w:val="false"/>
          <w:bCs w:val="false"/>
          <w:i w:val="false"/>
          <w:i w:val="false"/>
          <w:iCs w:val="false"/>
        </w:rPr>
      </w:pPr>
      <w:r>
        <w:rPr>
          <w:rFonts w:eastAsia="Calibri"/>
          <w:b w:val="false"/>
          <w:bCs w:val="false"/>
          <w:i w:val="false"/>
          <w:iCs w:val="false"/>
          <w:sz w:val="24"/>
          <w:szCs w:val="24"/>
        </w:rPr>
        <w:t>Приложение № 4 к Техническим требованиям</w:t>
      </w:r>
    </w:p>
    <w:p>
      <w:pPr>
        <w:pStyle w:val="Normal"/>
        <w:spacing w:before="0" w:after="0"/>
        <w:ind w:left="0" w:right="0" w:hanging="0"/>
        <w:contextualSpacing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before="0" w:after="0"/>
        <w:ind w:left="0" w:right="0" w:hanging="0"/>
        <w:contextualSpacing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before="0" w:after="0"/>
        <w:ind w:left="0" w:right="0" w:hanging="0"/>
        <w:contextualSpacing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before="0" w:after="0"/>
        <w:ind w:left="0" w:right="0" w:hanging="0"/>
        <w:jc w:val="center"/>
        <w:rPr/>
      </w:pPr>
      <w:r>
        <w:rPr>
          <w:rFonts w:eastAsia="Calibri"/>
          <w:b/>
          <w:bCs/>
          <w:sz w:val="28"/>
          <w:szCs w:val="28"/>
        </w:rPr>
        <w:t>Тр</w:t>
      </w:r>
      <w:r>
        <w:rPr>
          <w:rFonts w:eastAsia="Calibri"/>
          <w:b/>
          <w:bCs/>
          <w:sz w:val="24"/>
          <w:szCs w:val="24"/>
        </w:rPr>
        <w:t xml:space="preserve">ебования к оформлению и составлению документации по ценообразованию </w:t>
      </w:r>
    </w:p>
    <w:p>
      <w:pPr>
        <w:pStyle w:val="Normal"/>
        <w:bidi w:val="0"/>
        <w:spacing w:before="0" w:after="0"/>
        <w:ind w:left="0" w:right="0" w:hanging="0"/>
        <w:jc w:val="center"/>
        <w:rPr/>
      </w:pPr>
      <w:r>
        <w:rPr>
          <w:rFonts w:eastAsia="Calibri"/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ru-RU"/>
        </w:rPr>
        <w:t xml:space="preserve">«ОКПД2 </w:t>
      </w:r>
      <w:r>
        <w:rPr>
          <w:rFonts w:eastAsia="Calibri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ru-RU" w:eastAsia="x-none"/>
        </w:rPr>
        <w:t>81.22.11.000 Оказание услуг по мытью окон и фасада на объектах филиала ПАО «РусГидро» - «Карачаево-Черкесский филиал»</w:t>
      </w:r>
      <w:r>
        <w:rPr>
          <w:rFonts w:eastAsia="Calibri"/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ru-RU"/>
        </w:rPr>
        <w:t>»</w:t>
      </w:r>
    </w:p>
    <w:p>
      <w:pPr>
        <w:pStyle w:val="Normal"/>
        <w:bidi w:val="0"/>
        <w:spacing w:before="0" w:after="0"/>
        <w:ind w:left="0" w:right="0" w:hanging="0"/>
        <w:jc w:val="center"/>
        <w:rPr/>
      </w:pPr>
      <w:r>
        <w:rPr>
          <w:rFonts w:eastAsia="Calibri"/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ru-RU"/>
        </w:rPr>
        <w:t>Лот № 0017-ТО ДУД-2026-СК РусГидро</w:t>
      </w:r>
    </w:p>
    <w:p>
      <w:pPr>
        <w:pStyle w:val="Normal"/>
        <w:bidi w:val="0"/>
        <w:spacing w:before="0" w:after="0"/>
        <w:ind w:left="0" w:right="0" w:hanging="0"/>
        <w:jc w:val="center"/>
        <w:rPr>
          <w:rFonts w:eastAsia="Calibri"/>
          <w:b/>
          <w:bCs/>
          <w:color w:val="000000"/>
          <w:sz w:val="24"/>
          <w:szCs w:val="24"/>
        </w:rPr>
      </w:pPr>
      <w:r>
        <w:rPr>
          <w:rFonts w:eastAsia="Calibri"/>
          <w:b/>
          <w:bCs/>
          <w:color w:val="000000"/>
          <w:sz w:val="24"/>
          <w:szCs w:val="24"/>
        </w:rPr>
      </w:r>
    </w:p>
    <w:p>
      <w:pPr>
        <w:pStyle w:val="Style36"/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ходе исполнения договора разработка сметной документации по каждой отдельной Заявке Заказчика осуществляется Победителем с обязательным применением </w:t>
      </w:r>
      <w:r>
        <w:rPr>
          <w:bCs/>
          <w:sz w:val="24"/>
          <w:szCs w:val="24"/>
        </w:rPr>
        <w:t xml:space="preserve">единым индексом в итогах </w:t>
      </w:r>
      <w:r>
        <w:rPr>
          <w:sz w:val="24"/>
          <w:szCs w:val="24"/>
        </w:rPr>
        <w:t xml:space="preserve">процента снижения, определённого по результатам процедуры закупки и передается Заказчику на согласование. </w:t>
      </w:r>
    </w:p>
    <w:p>
      <w:pPr>
        <w:pStyle w:val="Style36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услуг определяется базисно-индексным методом с применением сметно-нормативной базы ФЕР- 2020 (с Изм. 1-9) с КСР, в программном комплексе «Гранд-СМЕТА» с переводом в текущие цены. При этом норму накладных расходов необходимо принимать по индивидуальным нормам в размере, не превышающем норму «Прочие ремонтно-строительные работы»: 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  <w:tab/>
        <w:t xml:space="preserve">не более 92% от ФОТ, для местностей, не относящихся к районам Крайнего Севера и приравненных к ним территориям;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  <w:tab/>
        <w:t xml:space="preserve">не более 93% от ФОТ - для местностей, приравненных к районам Крайнего Севера;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  <w:tab/>
        <w:t>97% от ФОТ - для местностей, относящихся к районам Крайнего Севера;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Норму сметной прибыли принимать по индивидуальной норме в размере, не превышающем норму «Прочие ремонтно-строительные работы» (44% от ФОТ).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 по форме;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0"/>
        <w:ind w:right="27" w:firstLine="709"/>
        <w:contextualSpacing/>
        <w:jc w:val="both"/>
        <w:rPr>
          <w:bCs/>
          <w:sz w:val="24"/>
          <w:szCs w:val="24"/>
          <w:lang w:val="ru-RU" w:eastAsia="x-none"/>
        </w:rPr>
      </w:pPr>
      <w:r>
        <w:rPr/>
      </w:r>
    </w:p>
    <w:sectPr>
      <w:headerReference w:type="default" r:id="rId8"/>
      <w:headerReference w:type="first" r:id="rId9"/>
      <w:type w:val="nextPage"/>
      <w:pgSz w:w="11906" w:h="16838"/>
      <w:pgMar w:left="1134" w:right="851" w:gutter="0" w:header="680" w:top="1134" w:footer="0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b w:val="false"/>
        <w:szCs w:val="24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b/>
        <w:szCs w:val="20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60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5"/>
      <w:numFmt w:val="decimal"/>
      <w:lvlText w:val="%1.%2"/>
      <w:lvlJc w:val="left"/>
      <w:pPr>
        <w:tabs>
          <w:tab w:val="num" w:pos="0"/>
        </w:tabs>
        <w:ind w:left="943" w:hanging="480"/>
      </w:pPr>
      <w:rPr/>
    </w:lvl>
    <w:lvl w:ilvl="2">
      <w:start w:val="2"/>
      <w:numFmt w:val="decimal"/>
      <w:lvlText w:val="%1.%2.%3"/>
      <w:lvlJc w:val="left"/>
      <w:pPr>
        <w:tabs>
          <w:tab w:val="num" w:pos="0"/>
        </w:tabs>
        <w:ind w:left="128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389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55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41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1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84" w:hanging="1800"/>
      </w:pPr>
      <w:rPr/>
    </w:lvl>
  </w:abstractNum>
  <w:abstractNum w:abstractNumId="12"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60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9"/>
    <w:lvlOverride w:ilvl="0">
      <w:startOverride w:val="1"/>
    </w:lvlOverride>
  </w:num>
  <w:num w:numId="17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607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0"/>
        <w:numId w:val="0"/>
      </w:numPr>
      <w:spacing w:lineRule="auto" w:line="276" w:before="120" w:after="60"/>
      <w:ind w:left="0" w:right="0" w:firstLine="709"/>
      <w:jc w:val="center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spacing w:before="0" w:after="0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Заголовок Знак"/>
    <w:basedOn w:val="DefaultParagraphFont"/>
    <w:qFormat/>
    <w:rsid w:val="006858a1"/>
    <w:rPr>
      <w:b/>
      <w:bCs/>
      <w:sz w:val="24"/>
      <w:szCs w:val="24"/>
    </w:rPr>
  </w:style>
  <w:style w:type="character" w:styleId="Style15">
    <w:name w:val="Символ нумерации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right="0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itle">
    <w:name w:val="Title"/>
    <w:basedOn w:val="Normal"/>
    <w:link w:val="Style14"/>
    <w:qFormat/>
    <w:rsid w:val="006858a1"/>
    <w:pPr>
      <w:widowControl w:val="false"/>
      <w:jc w:val="center"/>
    </w:pPr>
    <w:rPr>
      <w:b/>
      <w:bCs/>
      <w:sz w:val="24"/>
      <w:szCs w:val="24"/>
    </w:rPr>
  </w:style>
  <w:style w:type="paragraph" w:styleId="Style34">
    <w:name w:val="Содержимое врезки"/>
    <w:basedOn w:val="Normal"/>
    <w:qFormat/>
    <w:pPr/>
    <w:rPr/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Абзац списка"/>
    <w:basedOn w:val="Normal"/>
    <w:qFormat/>
    <w:pPr>
      <w:spacing w:before="0" w:after="0"/>
      <w:ind w:left="720" w:hanging="0"/>
      <w:contextualSpacing/>
      <w:jc w:val="left"/>
    </w:pPr>
    <w:rPr>
      <w:rFonts w:eastAsia="Calibri"/>
    </w:rPr>
  </w:style>
  <w:style w:type="paragraph" w:styleId="Style37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21307372261">
    <w:name w:val="21307372261"/>
    <w:qFormat/>
  </w:style>
  <w:style w:type="numbering" w:styleId="36058094411">
    <w:name w:val="36058094411"/>
    <w:qFormat/>
  </w:style>
  <w:style w:type="numbering" w:styleId="18150890371">
    <w:name w:val="1815089037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header" Target="header8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BD921-08D8-4085-A218-E5E527A1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Application>AlterOffice/3.4.0.9$Linux_X86_64 LibreOffice_project/b8daf9e823b1a5463a2f48435ddc2e8696e7d4fc</Application>
  <AppVersion>15.0000</AppVersion>
  <Pages>12</Pages>
  <Words>3147</Words>
  <Characters>21771</Characters>
  <CharactersWithSpaces>24588</CharactersWithSpaces>
  <Paragraphs>328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2023-03-28T01:00:00Z</dcterms:created>
  <dc:creator>Быстров Олег Геннадьевич</dc:creator>
  <dc:description/>
  <dc:language>ru-RU</dc:language>
  <cp:lastModifiedBy>lisitchenkoma@corp.gidroogk.com</cp:lastModifiedBy>
  <cp:lastPrinted>2006-07-26T14:04:00Z</cp:lastPrinted>
  <dcterms:modified xsi:type="dcterms:W3CDTF">2026-04-28T12:44:25Z</dcterms:modified>
  <cp:revision>118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